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20B2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4823F1D" w14:textId="77777777" w:rsidR="000F3E35" w:rsidRDefault="000F3E35" w:rsidP="000F3E3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bookmark41"/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Микроэкономика</w:t>
      </w:r>
      <w:bookmarkEnd w:id="0"/>
    </w:p>
    <w:p w14:paraId="6C67AB76" w14:textId="77777777" w:rsidR="00CB40F6" w:rsidRPr="000F3E35" w:rsidRDefault="00CB40F6" w:rsidP="000F3E3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_GoBack"/>
      <w:bookmarkEnd w:id="1"/>
    </w:p>
    <w:p w14:paraId="23BC2FFA" w14:textId="77777777" w:rsidR="000F3E35" w:rsidRPr="000F3E35" w:rsidRDefault="000F3E35" w:rsidP="000F3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0F3E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8A69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0F3E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14:paraId="63795A99" w14:textId="2E28C058" w:rsidR="000F3E35" w:rsidRPr="00CB40F6" w:rsidRDefault="000F3E35" w:rsidP="00CB40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CB40F6" w:rsidRPr="00415496">
        <w:rPr>
          <w:rFonts w:ascii="Times New Roman" w:hAnsi="Times New Roman" w:cs="Times New Roman"/>
          <w:sz w:val="28"/>
          <w:szCs w:val="28"/>
        </w:rPr>
        <w:t xml:space="preserve">формирование системы знаний о субъектах экономики, явлениях и процессах экономической жизни общества, о методах и инструментах исследования этих явлений, о способах и средствах решения экономических проблем </w:t>
      </w:r>
    </w:p>
    <w:p w14:paraId="41958988" w14:textId="77777777" w:rsidR="000F3E35" w:rsidRPr="000F3E35" w:rsidRDefault="000F3E35" w:rsidP="000F3E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0F3E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«Микроэкономика» является дисциплиной обязательной части модуля общепрофессиональных дисциплин направления подготовки 38.03.01 «Экономика» профиль «</w:t>
      </w:r>
      <w:r w:rsidR="008A690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0F3E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14:paraId="20C9FA1A" w14:textId="77777777" w:rsidR="000F3E35" w:rsidRPr="000F3E35" w:rsidRDefault="000F3E35" w:rsidP="000F3E35">
      <w:pPr>
        <w:tabs>
          <w:tab w:val="left" w:pos="4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F3E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0F3E3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Введение в экономическую теорию. Институциональные основы функционирования рыночной экономики. Спрос, предложение и рыночное равновесие. Потребительское потребление. Издержки производства и прибыль. Совершенная конкуренция. Рыночные структуры несовершенной конкуренции. Монополистическая конкуренция. Олигополия. Монополия. Рынки факторов производства и распределение доходов. Рынок труда и заработная плата. Рынок капитала. Рынок природных ресурсов. Трансакционные издержки. Риски, неопределенность, асимметрия информации. Теория внешних эффектов. Предпринимательство и фирма.</w:t>
      </w:r>
    </w:p>
    <w:p w14:paraId="7F8C8D29" w14:textId="77777777" w:rsidR="0050702F" w:rsidRDefault="00CB40F6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26FC8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21586"/>
    <w:multiLevelType w:val="multilevel"/>
    <w:tmpl w:val="BFB88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001319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351AE7"/>
    <w:multiLevelType w:val="multilevel"/>
    <w:tmpl w:val="EA740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D20A42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9C0773"/>
    <w:multiLevelType w:val="multilevel"/>
    <w:tmpl w:val="C5E0B7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F3E35"/>
    <w:rsid w:val="001F13DA"/>
    <w:rsid w:val="00524446"/>
    <w:rsid w:val="006368BE"/>
    <w:rsid w:val="00772DED"/>
    <w:rsid w:val="008A6907"/>
    <w:rsid w:val="00A8708C"/>
    <w:rsid w:val="00CB40F6"/>
    <w:rsid w:val="00D47822"/>
    <w:rsid w:val="00D57FA6"/>
    <w:rsid w:val="00DB5D7F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C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D6FA9-B93F-4B79-9FD7-13E6B6603996}"/>
</file>

<file path=customXml/itemProps2.xml><?xml version="1.0" encoding="utf-8"?>
<ds:datastoreItem xmlns:ds="http://schemas.openxmlformats.org/officeDocument/2006/customXml" ds:itemID="{29ABA742-E920-47AA-B8E6-B4369D306B27}"/>
</file>

<file path=customXml/itemProps3.xml><?xml version="1.0" encoding="utf-8"?>
<ds:datastoreItem xmlns:ds="http://schemas.openxmlformats.org/officeDocument/2006/customXml" ds:itemID="{F42909FD-5799-4205-8306-942094139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6</cp:revision>
  <dcterms:created xsi:type="dcterms:W3CDTF">2018-03-26T12:12:00Z</dcterms:created>
  <dcterms:modified xsi:type="dcterms:W3CDTF">2020-11-06T11:01:00Z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